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849DF">
      <w:pPr>
        <w:spacing w:line="360" w:lineRule="auto"/>
        <w:jc w:val="both"/>
        <w:rPr>
          <w:rFonts w:hint="default" w:ascii="宋体" w:hAnsi="宋体" w:eastAsia="宋体" w:cs="宋体"/>
          <w:b/>
          <w:szCs w:val="21"/>
          <w:lang w:val="en-US" w:eastAsia="zh-CN"/>
        </w:rPr>
      </w:pPr>
      <w:r>
        <w:rPr>
          <w:rFonts w:hint="eastAsia" w:ascii="宋体" w:hAnsi="宋体" w:cs="宋体"/>
          <w:b/>
          <w:szCs w:val="21"/>
          <w:lang w:val="en-US" w:eastAsia="zh-CN"/>
        </w:rPr>
        <w:t>附件1</w:t>
      </w:r>
      <w:bookmarkStart w:id="0" w:name="_GoBack"/>
      <w:bookmarkEnd w:id="0"/>
    </w:p>
    <w:p w14:paraId="0EC96475">
      <w:pPr>
        <w:spacing w:line="360" w:lineRule="auto"/>
        <w:jc w:val="center"/>
        <w:rPr>
          <w:rFonts w:hint="eastAsia" w:ascii="宋体" w:hAnsi="宋体" w:cs="宋体"/>
          <w:b/>
          <w:szCs w:val="21"/>
        </w:rPr>
      </w:pPr>
      <w:r>
        <w:rPr>
          <w:rFonts w:hint="eastAsia" w:ascii="宋体" w:hAnsi="宋体" w:cs="宋体"/>
          <w:b/>
          <w:szCs w:val="21"/>
        </w:rPr>
        <w:t>3.</w:t>
      </w:r>
      <w:r>
        <w:rPr>
          <w:rFonts w:ascii="宋体" w:hAnsi="宋体" w:cs="宋体"/>
          <w:b/>
          <w:szCs w:val="21"/>
        </w:rPr>
        <w:t>1</w:t>
      </w:r>
      <w:r>
        <w:rPr>
          <w:rFonts w:hint="eastAsia" w:ascii="宋体" w:hAnsi="宋体" w:cs="宋体"/>
          <w:b/>
          <w:szCs w:val="21"/>
        </w:rPr>
        <w:t>综合评审表</w:t>
      </w:r>
    </w:p>
    <w:tbl>
      <w:tblPr>
        <w:tblStyle w:val="4"/>
        <w:tblW w:w="8848" w:type="dxa"/>
        <w:jc w:val="center"/>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Layout w:type="fixed"/>
        <w:tblCellMar>
          <w:top w:w="0" w:type="dxa"/>
          <w:left w:w="108" w:type="dxa"/>
          <w:bottom w:w="0" w:type="dxa"/>
          <w:right w:w="108" w:type="dxa"/>
        </w:tblCellMar>
      </w:tblPr>
      <w:tblGrid>
        <w:gridCol w:w="742"/>
        <w:gridCol w:w="1330"/>
        <w:gridCol w:w="779"/>
        <w:gridCol w:w="5997"/>
      </w:tblGrid>
      <w:tr w14:paraId="04A9C377">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481" w:hRule="atLeast"/>
          <w:jc w:val="center"/>
        </w:trPr>
        <w:tc>
          <w:tcPr>
            <w:tcW w:w="2072" w:type="dxa"/>
            <w:gridSpan w:val="2"/>
            <w:tcBorders>
              <w:tl2br w:val="nil"/>
              <w:tr2bl w:val="nil"/>
            </w:tcBorders>
            <w:noWrap w:val="0"/>
            <w:vAlign w:val="center"/>
          </w:tcPr>
          <w:p w14:paraId="32E92255">
            <w:pPr>
              <w:pStyle w:val="6"/>
              <w:keepNext w:val="0"/>
              <w:keepLines w:val="0"/>
              <w:pageBreakBefore w:val="0"/>
              <w:kinsoku/>
              <w:wordWrap/>
              <w:overflowPunct/>
              <w:topLinePunct w:val="0"/>
              <w:autoSpaceDE/>
              <w:autoSpaceDN/>
              <w:bidi w:val="0"/>
              <w:adjustRightInd/>
              <w:snapToGrid/>
              <w:spacing w:before="0" w:line="24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评审因素</w:t>
            </w:r>
          </w:p>
        </w:tc>
        <w:tc>
          <w:tcPr>
            <w:tcW w:w="779" w:type="dxa"/>
            <w:tcBorders>
              <w:tl2br w:val="nil"/>
              <w:tr2bl w:val="nil"/>
            </w:tcBorders>
            <w:noWrap w:val="0"/>
            <w:vAlign w:val="center"/>
          </w:tcPr>
          <w:p w14:paraId="0F9F5EA2">
            <w:pPr>
              <w:pStyle w:val="6"/>
              <w:keepNext w:val="0"/>
              <w:keepLines w:val="0"/>
              <w:pageBreakBefore w:val="0"/>
              <w:kinsoku/>
              <w:wordWrap/>
              <w:overflowPunct/>
              <w:topLinePunct w:val="0"/>
              <w:autoSpaceDE/>
              <w:autoSpaceDN/>
              <w:bidi w:val="0"/>
              <w:adjustRightInd/>
              <w:snapToGrid/>
              <w:spacing w:before="0" w:line="240" w:lineRule="auto"/>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分值</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分</w:t>
            </w:r>
            <w:r>
              <w:rPr>
                <w:rFonts w:hint="eastAsia" w:ascii="宋体" w:hAnsi="宋体" w:eastAsia="宋体" w:cs="宋体"/>
                <w:color w:val="auto"/>
                <w:kern w:val="0"/>
                <w:sz w:val="21"/>
                <w:szCs w:val="21"/>
                <w:highlight w:val="none"/>
                <w:lang w:eastAsia="zh-CN"/>
              </w:rPr>
              <w:t>）</w:t>
            </w:r>
          </w:p>
        </w:tc>
        <w:tc>
          <w:tcPr>
            <w:tcW w:w="5997" w:type="dxa"/>
            <w:tcBorders>
              <w:tl2br w:val="nil"/>
              <w:tr2bl w:val="nil"/>
            </w:tcBorders>
            <w:noWrap w:val="0"/>
            <w:vAlign w:val="center"/>
          </w:tcPr>
          <w:p w14:paraId="3B06B5DE">
            <w:pPr>
              <w:pStyle w:val="6"/>
              <w:keepNext w:val="0"/>
              <w:keepLines w:val="0"/>
              <w:pageBreakBefore w:val="0"/>
              <w:kinsoku/>
              <w:wordWrap/>
              <w:overflowPunct/>
              <w:topLinePunct w:val="0"/>
              <w:autoSpaceDE/>
              <w:autoSpaceDN/>
              <w:bidi w:val="0"/>
              <w:adjustRightInd/>
              <w:snapToGrid/>
              <w:spacing w:before="0" w:line="24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评分标准</w:t>
            </w:r>
          </w:p>
        </w:tc>
      </w:tr>
      <w:tr w14:paraId="362F0493">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297" w:hRule="atLeast"/>
          <w:jc w:val="center"/>
        </w:trPr>
        <w:tc>
          <w:tcPr>
            <w:tcW w:w="2072" w:type="dxa"/>
            <w:gridSpan w:val="2"/>
            <w:tcBorders>
              <w:tl2br w:val="nil"/>
              <w:tr2bl w:val="nil"/>
            </w:tcBorders>
            <w:noWrap w:val="0"/>
            <w:vAlign w:val="center"/>
          </w:tcPr>
          <w:p w14:paraId="1C9BD204">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价</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格（</w:t>
            </w:r>
            <w:r>
              <w:rPr>
                <w:rFonts w:hint="eastAsia" w:ascii="宋体" w:hAnsi="宋体" w:eastAsia="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rPr>
              <w:t>分）</w:t>
            </w:r>
          </w:p>
        </w:tc>
        <w:tc>
          <w:tcPr>
            <w:tcW w:w="779" w:type="dxa"/>
            <w:tcBorders>
              <w:tl2br w:val="nil"/>
              <w:tr2bl w:val="nil"/>
            </w:tcBorders>
            <w:noWrap w:val="0"/>
            <w:vAlign w:val="center"/>
          </w:tcPr>
          <w:p w14:paraId="3B22134C">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30</w:t>
            </w:r>
          </w:p>
        </w:tc>
        <w:tc>
          <w:tcPr>
            <w:tcW w:w="5997" w:type="dxa"/>
            <w:tcBorders>
              <w:tl2br w:val="nil"/>
              <w:tr2bl w:val="nil"/>
            </w:tcBorders>
            <w:noWrap w:val="0"/>
            <w:vAlign w:val="center"/>
          </w:tcPr>
          <w:p w14:paraId="3338B7FF">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经</w:t>
            </w:r>
            <w:r>
              <w:rPr>
                <w:rFonts w:hint="eastAsia" w:ascii="宋体" w:hAnsi="宋体" w:eastAsia="宋体" w:cs="宋体"/>
                <w:color w:val="auto"/>
                <w:kern w:val="0"/>
                <w:sz w:val="21"/>
                <w:szCs w:val="21"/>
                <w:highlight w:val="none"/>
                <w:lang w:val="en-US" w:eastAsia="zh-CN"/>
              </w:rPr>
              <w:t>评标</w:t>
            </w:r>
            <w:r>
              <w:rPr>
                <w:rFonts w:hint="eastAsia" w:ascii="宋体" w:hAnsi="宋体" w:eastAsia="宋体" w:cs="宋体"/>
                <w:color w:val="auto"/>
                <w:kern w:val="0"/>
                <w:sz w:val="21"/>
                <w:szCs w:val="21"/>
                <w:highlight w:val="none"/>
              </w:rPr>
              <w:t>委</w:t>
            </w:r>
            <w:r>
              <w:rPr>
                <w:rFonts w:hint="eastAsia" w:ascii="宋体" w:hAnsi="宋体" w:eastAsia="宋体" w:cs="宋体"/>
                <w:color w:val="auto"/>
                <w:kern w:val="0"/>
                <w:sz w:val="21"/>
                <w:szCs w:val="21"/>
                <w:highlight w:val="none"/>
                <w:lang w:val="en-US" w:eastAsia="zh-CN"/>
              </w:rPr>
              <w:t>员</w:t>
            </w:r>
            <w:r>
              <w:rPr>
                <w:rFonts w:hint="eastAsia" w:ascii="宋体" w:hAnsi="宋体" w:eastAsia="宋体" w:cs="宋体"/>
                <w:color w:val="auto"/>
                <w:kern w:val="0"/>
                <w:sz w:val="21"/>
                <w:szCs w:val="21"/>
                <w:highlight w:val="none"/>
              </w:rPr>
              <w:t>会一致认定</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满足</w:t>
            </w:r>
            <w:r>
              <w:rPr>
                <w:rFonts w:hint="eastAsia" w:ascii="宋体" w:hAnsi="宋体" w:eastAsia="宋体" w:cs="宋体"/>
                <w:color w:val="auto"/>
                <w:kern w:val="0"/>
                <w:sz w:val="21"/>
                <w:szCs w:val="21"/>
                <w:highlight w:val="none"/>
                <w:lang w:val="en-US" w:eastAsia="zh-CN"/>
              </w:rPr>
              <w:t>遴选</w:t>
            </w:r>
            <w:r>
              <w:rPr>
                <w:rFonts w:hint="eastAsia" w:ascii="宋体" w:hAnsi="宋体" w:eastAsia="宋体" w:cs="宋体"/>
                <w:color w:val="auto"/>
                <w:kern w:val="0"/>
                <w:sz w:val="21"/>
                <w:szCs w:val="21"/>
                <w:highlight w:val="none"/>
              </w:rPr>
              <w:t>文件要求且投标价格最低</w:t>
            </w:r>
            <w:r>
              <w:rPr>
                <w:rFonts w:hint="eastAsia" w:ascii="宋体" w:hAnsi="宋体" w:eastAsia="宋体" w:cs="宋体"/>
                <w:b/>
                <w:bCs/>
                <w:color w:val="auto"/>
                <w:kern w:val="0"/>
                <w:sz w:val="21"/>
                <w:szCs w:val="21"/>
                <w:highlight w:val="none"/>
                <w:lang w:eastAsia="zh-CN"/>
              </w:rPr>
              <w:t>（即折扣</w:t>
            </w:r>
            <w:r>
              <w:rPr>
                <w:rFonts w:hint="eastAsia" w:ascii="宋体" w:hAnsi="宋体" w:eastAsia="宋体" w:cs="宋体"/>
                <w:b/>
                <w:bCs/>
                <w:color w:val="auto"/>
                <w:kern w:val="0"/>
                <w:sz w:val="21"/>
                <w:szCs w:val="21"/>
                <w:highlight w:val="none"/>
                <w:lang w:val="en-US" w:eastAsia="zh-CN"/>
              </w:rPr>
              <w:t>最低</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color w:val="auto"/>
                <w:kern w:val="0"/>
                <w:sz w:val="21"/>
                <w:szCs w:val="21"/>
                <w:highlight w:val="none"/>
              </w:rPr>
              <w:t>的评审报价为评标基准价，其价格得分</w:t>
            </w:r>
            <w:r>
              <w:rPr>
                <w:rFonts w:hint="eastAsia" w:ascii="宋体" w:hAnsi="宋体" w:eastAsia="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rPr>
              <w:t>分。其他</w:t>
            </w:r>
            <w:r>
              <w:rPr>
                <w:rFonts w:hint="eastAsia" w:ascii="宋体" w:hAnsi="宋体" w:eastAsia="宋体" w:cs="宋体"/>
                <w:color w:val="auto"/>
                <w:kern w:val="0"/>
                <w:sz w:val="21"/>
                <w:szCs w:val="21"/>
                <w:highlight w:val="none"/>
                <w:lang w:val="en-US" w:eastAsia="zh-CN"/>
              </w:rPr>
              <w:t>投标供应商</w:t>
            </w:r>
            <w:r>
              <w:rPr>
                <w:rFonts w:hint="eastAsia" w:ascii="宋体" w:hAnsi="宋体" w:eastAsia="宋体" w:cs="宋体"/>
                <w:color w:val="auto"/>
                <w:kern w:val="0"/>
                <w:sz w:val="21"/>
                <w:szCs w:val="21"/>
                <w:highlight w:val="none"/>
              </w:rPr>
              <w:t>的价格得分统一按公式计算：</w:t>
            </w:r>
          </w:p>
          <w:p w14:paraId="54A90080">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报价得分＝评标基准</w:t>
            </w:r>
            <w:r>
              <w:rPr>
                <w:rFonts w:hint="eastAsia" w:ascii="宋体" w:hAnsi="宋体" w:eastAsia="宋体" w:cs="宋体"/>
                <w:color w:val="auto"/>
                <w:kern w:val="0"/>
                <w:sz w:val="21"/>
                <w:szCs w:val="21"/>
                <w:highlight w:val="none"/>
                <w:lang w:val="en-US" w:eastAsia="zh-CN"/>
              </w:rPr>
              <w:t>折扣</w:t>
            </w:r>
            <w:r>
              <w:rPr>
                <w:rFonts w:hint="eastAsia" w:ascii="宋体" w:hAnsi="宋体" w:eastAsia="宋体" w:cs="宋体"/>
                <w:color w:val="auto"/>
                <w:kern w:val="0"/>
                <w:sz w:val="21"/>
                <w:szCs w:val="21"/>
                <w:highlight w:val="none"/>
              </w:rPr>
              <w:t>÷评标</w:t>
            </w:r>
            <w:r>
              <w:rPr>
                <w:rFonts w:hint="eastAsia" w:ascii="宋体" w:hAnsi="宋体" w:eastAsia="宋体" w:cs="宋体"/>
                <w:color w:val="auto"/>
                <w:kern w:val="0"/>
                <w:sz w:val="21"/>
                <w:szCs w:val="21"/>
                <w:highlight w:val="none"/>
                <w:lang w:val="en-US" w:eastAsia="zh-CN"/>
              </w:rPr>
              <w:t>折扣</w:t>
            </w:r>
            <w:r>
              <w:rPr>
                <w:rFonts w:hint="eastAsia" w:ascii="宋体" w:hAnsi="宋体" w:eastAsia="宋体" w:cs="宋体"/>
                <w:color w:val="auto"/>
                <w:kern w:val="0"/>
                <w:sz w:val="21"/>
                <w:szCs w:val="21"/>
                <w:highlight w:val="none"/>
              </w:rPr>
              <w:t>报价×投标报价</w:t>
            </w:r>
            <w:r>
              <w:rPr>
                <w:rFonts w:hint="eastAsia" w:ascii="宋体" w:hAnsi="宋体" w:eastAsia="宋体" w:cs="宋体"/>
                <w:color w:val="auto"/>
                <w:kern w:val="0"/>
                <w:sz w:val="21"/>
                <w:szCs w:val="21"/>
                <w:highlight w:val="none"/>
                <w:lang w:val="en-US" w:eastAsia="zh-CN"/>
              </w:rPr>
              <w:t>分</w:t>
            </w:r>
            <w:r>
              <w:rPr>
                <w:rFonts w:hint="eastAsia" w:ascii="宋体" w:hAnsi="宋体" w:eastAsia="宋体" w:cs="宋体"/>
                <w:color w:val="auto"/>
                <w:kern w:val="0"/>
                <w:sz w:val="21"/>
                <w:szCs w:val="21"/>
                <w:highlight w:val="none"/>
              </w:rPr>
              <w:t>值</w:t>
            </w:r>
          </w:p>
        </w:tc>
      </w:tr>
      <w:tr w14:paraId="1B21BF13">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5" w:hRule="atLeast"/>
          <w:jc w:val="center"/>
        </w:trPr>
        <w:tc>
          <w:tcPr>
            <w:tcW w:w="742" w:type="dxa"/>
            <w:vMerge w:val="restart"/>
            <w:tcBorders>
              <w:tl2br w:val="nil"/>
              <w:tr2bl w:val="nil"/>
            </w:tcBorders>
            <w:noWrap w:val="0"/>
            <w:vAlign w:val="center"/>
          </w:tcPr>
          <w:p w14:paraId="38DF91E6">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术</w:t>
            </w:r>
          </w:p>
          <w:p w14:paraId="5CF57669">
            <w:pPr>
              <w:pStyle w:val="6"/>
              <w:keepNext w:val="0"/>
              <w:keepLines w:val="0"/>
              <w:pageBreakBefore w:val="0"/>
              <w:widowControl w:val="0"/>
              <w:kinsoku/>
              <w:wordWrap/>
              <w:overflowPunct/>
              <w:topLinePunct w:val="0"/>
              <w:autoSpaceDE/>
              <w:autoSpaceDN/>
              <w:bidi w:val="0"/>
              <w:adjustRightInd/>
              <w:snapToGrid/>
              <w:spacing w:before="0" w:line="288" w:lineRule="auto"/>
              <w:ind w:left="-210" w:leftChars="-100" w:right="-210" w:rightChars="-10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50</w:t>
            </w:r>
            <w:r>
              <w:rPr>
                <w:rFonts w:hint="eastAsia" w:ascii="宋体" w:hAnsi="宋体" w:eastAsia="宋体" w:cs="宋体"/>
                <w:color w:val="auto"/>
                <w:kern w:val="0"/>
                <w:sz w:val="21"/>
                <w:szCs w:val="21"/>
                <w:highlight w:val="none"/>
              </w:rPr>
              <w:t>分）</w:t>
            </w:r>
          </w:p>
        </w:tc>
        <w:tc>
          <w:tcPr>
            <w:tcW w:w="1330" w:type="dxa"/>
            <w:tcBorders>
              <w:tl2br w:val="nil"/>
              <w:tr2bl w:val="nil"/>
            </w:tcBorders>
            <w:noWrap w:val="0"/>
            <w:vAlign w:val="center"/>
          </w:tcPr>
          <w:p w14:paraId="78719B68">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施工方案与技术措施</w:t>
            </w:r>
          </w:p>
        </w:tc>
        <w:tc>
          <w:tcPr>
            <w:tcW w:w="779" w:type="dxa"/>
            <w:tcBorders>
              <w:tl2br w:val="nil"/>
              <w:tr2bl w:val="nil"/>
            </w:tcBorders>
            <w:noWrap w:val="0"/>
            <w:vAlign w:val="center"/>
          </w:tcPr>
          <w:p w14:paraId="4A65C425">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5997" w:type="dxa"/>
            <w:tcBorders>
              <w:tl2br w:val="nil"/>
              <w:tr2bl w:val="nil"/>
            </w:tcBorders>
            <w:noWrap w:val="0"/>
            <w:vAlign w:val="center"/>
          </w:tcPr>
          <w:p w14:paraId="1CFFBBA3">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w:t>
            </w:r>
            <w:r>
              <w:rPr>
                <w:rFonts w:hint="eastAsia" w:ascii="宋体" w:hAnsi="宋体" w:eastAsia="宋体" w:cs="宋体"/>
                <w:color w:val="auto"/>
                <w:kern w:val="0"/>
                <w:sz w:val="21"/>
                <w:szCs w:val="21"/>
                <w:highlight w:val="none"/>
              </w:rPr>
              <w:t>提供针对本项目的施工组织设计</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内容包括但不限于：施工目标、总体工作思路、工艺流程、</w:t>
            </w:r>
            <w:r>
              <w:rPr>
                <w:rFonts w:hint="eastAsia" w:ascii="宋体" w:hAnsi="宋体" w:eastAsia="宋体" w:cs="宋体"/>
                <w:color w:val="auto"/>
                <w:kern w:val="0"/>
                <w:sz w:val="21"/>
                <w:szCs w:val="21"/>
                <w:highlight w:val="none"/>
                <w:lang w:val="en-US" w:eastAsia="zh-CN"/>
              </w:rPr>
              <w:t>操作要领、</w:t>
            </w:r>
            <w:r>
              <w:rPr>
                <w:rFonts w:hint="eastAsia" w:ascii="宋体" w:hAnsi="宋体" w:eastAsia="宋体" w:cs="宋体"/>
                <w:color w:val="auto"/>
                <w:kern w:val="0"/>
                <w:sz w:val="21"/>
                <w:szCs w:val="21"/>
                <w:highlight w:val="none"/>
              </w:rPr>
              <w:t>施工部署等，评委根据方案内容的完整性、施工工艺的先进可靠性、各项技术措施的可行性进行评分。施工方案完整、施工工艺先进可靠、各项技术措施可行性高的计</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分。有标题无实质性描述每个内容扣</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分，其中每处缺陷扣</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分，本项扣完</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分为止。未提供方案本项计0分</w:t>
            </w:r>
            <w:r>
              <w:rPr>
                <w:rFonts w:hint="eastAsia" w:ascii="宋体" w:hAnsi="宋体" w:eastAsia="宋体" w:cs="宋体"/>
                <w:color w:val="auto"/>
                <w:kern w:val="0"/>
                <w:sz w:val="21"/>
                <w:szCs w:val="21"/>
                <w:highlight w:val="none"/>
                <w:lang w:eastAsia="zh-CN"/>
              </w:rPr>
              <w:t>。</w:t>
            </w:r>
          </w:p>
        </w:tc>
      </w:tr>
      <w:tr w14:paraId="552E813F">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5" w:hRule="atLeast"/>
          <w:jc w:val="center"/>
        </w:trPr>
        <w:tc>
          <w:tcPr>
            <w:tcW w:w="742" w:type="dxa"/>
            <w:vMerge w:val="continue"/>
            <w:tcBorders>
              <w:tl2br w:val="nil"/>
              <w:tr2bl w:val="nil"/>
            </w:tcBorders>
            <w:noWrap w:val="0"/>
            <w:vAlign w:val="center"/>
          </w:tcPr>
          <w:p w14:paraId="6051D7D6">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p>
        </w:tc>
        <w:tc>
          <w:tcPr>
            <w:tcW w:w="1330" w:type="dxa"/>
            <w:tcBorders>
              <w:tl2br w:val="nil"/>
              <w:tr2bl w:val="nil"/>
            </w:tcBorders>
            <w:noWrap w:val="0"/>
            <w:vAlign w:val="center"/>
          </w:tcPr>
          <w:p w14:paraId="11644EE4">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质量保障体系与措施</w:t>
            </w:r>
          </w:p>
        </w:tc>
        <w:tc>
          <w:tcPr>
            <w:tcW w:w="779" w:type="dxa"/>
            <w:tcBorders>
              <w:tl2br w:val="nil"/>
              <w:tr2bl w:val="nil"/>
            </w:tcBorders>
            <w:noWrap w:val="0"/>
            <w:vAlign w:val="center"/>
          </w:tcPr>
          <w:p w14:paraId="375141BA">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5997" w:type="dxa"/>
            <w:tcBorders>
              <w:tl2br w:val="nil"/>
              <w:tr2bl w:val="nil"/>
            </w:tcBorders>
            <w:noWrap w:val="0"/>
            <w:vAlign w:val="center"/>
          </w:tcPr>
          <w:p w14:paraId="6E328F46">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投标供应商针对本项目情况</w:t>
            </w:r>
            <w:r>
              <w:rPr>
                <w:rFonts w:hint="eastAsia" w:ascii="宋体" w:hAnsi="宋体" w:eastAsia="宋体" w:cs="宋体"/>
                <w:color w:val="auto"/>
                <w:kern w:val="0"/>
                <w:sz w:val="21"/>
                <w:szCs w:val="21"/>
                <w:highlight w:val="none"/>
              </w:rPr>
              <w:t>提供质量保障体系与措施，</w:t>
            </w:r>
            <w:r>
              <w:rPr>
                <w:rFonts w:hint="eastAsia" w:ascii="宋体" w:hAnsi="宋体" w:eastAsia="宋体" w:cs="宋体"/>
                <w:color w:val="auto"/>
                <w:kern w:val="0"/>
                <w:sz w:val="21"/>
                <w:szCs w:val="21"/>
                <w:highlight w:val="none"/>
                <w:lang w:val="en-US" w:eastAsia="zh-CN"/>
              </w:rPr>
              <w:t>内容包括但不限于：</w:t>
            </w:r>
            <w:r>
              <w:rPr>
                <w:rFonts w:hint="eastAsia" w:ascii="宋体" w:hAnsi="宋体" w:eastAsia="宋体" w:cs="宋体"/>
                <w:color w:val="auto"/>
                <w:kern w:val="0"/>
                <w:sz w:val="21"/>
                <w:szCs w:val="21"/>
                <w:highlight w:val="none"/>
              </w:rPr>
              <w:t>质量保障体系</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质量控制措施、保证质量的技术措施、健全的项目质量管理规章制度、质量保证承诺等，</w:t>
            </w:r>
            <w:r>
              <w:rPr>
                <w:rFonts w:hint="eastAsia" w:ascii="宋体" w:hAnsi="宋体" w:eastAsia="宋体" w:cs="宋体"/>
                <w:color w:val="auto"/>
                <w:kern w:val="0"/>
                <w:sz w:val="21"/>
                <w:szCs w:val="21"/>
                <w:highlight w:val="none"/>
              </w:rPr>
              <w:t>评委根据方案内容的完整性、可行性、措施的科学合理性等方面进行评分，阐述完整合理、可行，保证措施得力有针对的计</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有标题无实质性描述每个内容扣</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分，其中每处缺陷扣</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分，本项扣完</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分为止。未提供方案本项计0分</w:t>
            </w:r>
            <w:r>
              <w:rPr>
                <w:rFonts w:hint="eastAsia" w:ascii="宋体" w:hAnsi="宋体" w:eastAsia="宋体" w:cs="宋体"/>
                <w:color w:val="auto"/>
                <w:kern w:val="0"/>
                <w:sz w:val="21"/>
                <w:szCs w:val="21"/>
                <w:highlight w:val="none"/>
                <w:lang w:eastAsia="zh-CN"/>
              </w:rPr>
              <w:t>。</w:t>
            </w:r>
          </w:p>
        </w:tc>
      </w:tr>
      <w:tr w14:paraId="1F56DD69">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5" w:hRule="atLeast"/>
          <w:jc w:val="center"/>
        </w:trPr>
        <w:tc>
          <w:tcPr>
            <w:tcW w:w="742" w:type="dxa"/>
            <w:vMerge w:val="continue"/>
            <w:tcBorders>
              <w:tl2br w:val="nil"/>
              <w:tr2bl w:val="nil"/>
            </w:tcBorders>
            <w:noWrap w:val="0"/>
            <w:vAlign w:val="center"/>
          </w:tcPr>
          <w:p w14:paraId="19523E61">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p>
        </w:tc>
        <w:tc>
          <w:tcPr>
            <w:tcW w:w="1330" w:type="dxa"/>
            <w:tcBorders>
              <w:tl2br w:val="nil"/>
              <w:tr2bl w:val="nil"/>
            </w:tcBorders>
            <w:noWrap w:val="0"/>
            <w:vAlign w:val="center"/>
          </w:tcPr>
          <w:p w14:paraId="4578791C">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安全保障体系与措施</w:t>
            </w:r>
          </w:p>
        </w:tc>
        <w:tc>
          <w:tcPr>
            <w:tcW w:w="779" w:type="dxa"/>
            <w:tcBorders>
              <w:tl2br w:val="nil"/>
              <w:tr2bl w:val="nil"/>
            </w:tcBorders>
            <w:noWrap w:val="0"/>
            <w:vAlign w:val="center"/>
          </w:tcPr>
          <w:p w14:paraId="1585DF90">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5997" w:type="dxa"/>
            <w:tcBorders>
              <w:tl2br w:val="nil"/>
              <w:tr2bl w:val="nil"/>
            </w:tcBorders>
            <w:noWrap w:val="0"/>
            <w:vAlign w:val="center"/>
          </w:tcPr>
          <w:p w14:paraId="5C42B2DE">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投标供应商针对本项目</w:t>
            </w:r>
            <w:r>
              <w:rPr>
                <w:rFonts w:hint="eastAsia" w:ascii="宋体" w:hAnsi="宋体" w:eastAsia="宋体" w:cs="宋体"/>
                <w:color w:val="auto"/>
                <w:kern w:val="0"/>
                <w:sz w:val="21"/>
                <w:szCs w:val="21"/>
                <w:highlight w:val="none"/>
              </w:rPr>
              <w:t>提供安全保障体系与措施，</w:t>
            </w:r>
            <w:r>
              <w:rPr>
                <w:rFonts w:hint="eastAsia" w:ascii="宋体" w:hAnsi="宋体" w:eastAsia="宋体" w:cs="宋体"/>
                <w:color w:val="auto"/>
                <w:kern w:val="0"/>
                <w:sz w:val="21"/>
                <w:szCs w:val="21"/>
                <w:highlight w:val="none"/>
                <w:lang w:val="en-US" w:eastAsia="zh-CN"/>
              </w:rPr>
              <w:t>内容包括但不限于：安全生产管理</w:t>
            </w:r>
            <w:r>
              <w:rPr>
                <w:rFonts w:hint="eastAsia" w:ascii="宋体" w:hAnsi="宋体" w:eastAsia="宋体" w:cs="宋体"/>
                <w:color w:val="auto"/>
                <w:kern w:val="0"/>
                <w:sz w:val="21"/>
                <w:szCs w:val="21"/>
                <w:highlight w:val="none"/>
              </w:rPr>
              <w:t>体系</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安全生产保障措施、建立健全项目安全管理规章制度、</w:t>
            </w:r>
            <w:r>
              <w:rPr>
                <w:rFonts w:hint="eastAsia" w:ascii="宋体" w:hAnsi="宋体" w:eastAsia="宋体" w:cs="宋体"/>
                <w:color w:val="auto"/>
                <w:kern w:val="0"/>
                <w:sz w:val="21"/>
                <w:szCs w:val="21"/>
                <w:highlight w:val="none"/>
              </w:rPr>
              <w:t>应急处置措施</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方案完善、措施合理，有操作性针对性且具有可行性的计</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分。有标题无实质性描述每个内容扣</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分</w:t>
            </w:r>
            <w:r>
              <w:rPr>
                <w:rFonts w:hint="eastAsia" w:ascii="宋体" w:hAnsi="宋体" w:eastAsia="宋体" w:cs="宋体"/>
                <w:color w:val="auto"/>
                <w:kern w:val="0"/>
                <w:sz w:val="21"/>
                <w:szCs w:val="21"/>
                <w:highlight w:val="none"/>
              </w:rPr>
              <w:t>，其中每处缺陷扣</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分，本项扣完</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分为止。未提供方案本项计0分</w:t>
            </w:r>
            <w:r>
              <w:rPr>
                <w:rFonts w:hint="eastAsia" w:ascii="宋体" w:hAnsi="宋体" w:eastAsia="宋体" w:cs="宋体"/>
                <w:color w:val="auto"/>
                <w:kern w:val="0"/>
                <w:sz w:val="21"/>
                <w:szCs w:val="21"/>
                <w:highlight w:val="none"/>
                <w:lang w:eastAsia="zh-CN"/>
              </w:rPr>
              <w:t>。</w:t>
            </w:r>
          </w:p>
        </w:tc>
      </w:tr>
      <w:tr w14:paraId="6199A6BC">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299" w:hRule="atLeast"/>
          <w:jc w:val="center"/>
        </w:trPr>
        <w:tc>
          <w:tcPr>
            <w:tcW w:w="742" w:type="dxa"/>
            <w:vMerge w:val="continue"/>
            <w:tcBorders>
              <w:tl2br w:val="nil"/>
              <w:tr2bl w:val="nil"/>
            </w:tcBorders>
            <w:noWrap w:val="0"/>
            <w:vAlign w:val="center"/>
          </w:tcPr>
          <w:p w14:paraId="2D31E6DB">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p>
        </w:tc>
        <w:tc>
          <w:tcPr>
            <w:tcW w:w="1330" w:type="dxa"/>
            <w:tcBorders>
              <w:tl2br w:val="nil"/>
              <w:tr2bl w:val="nil"/>
            </w:tcBorders>
            <w:noWrap w:val="0"/>
            <w:vAlign w:val="center"/>
          </w:tcPr>
          <w:p w14:paraId="5F1D1D3C">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环境保护体系与措施</w:t>
            </w:r>
          </w:p>
        </w:tc>
        <w:tc>
          <w:tcPr>
            <w:tcW w:w="779" w:type="dxa"/>
            <w:tcBorders>
              <w:tl2br w:val="nil"/>
              <w:tr2bl w:val="nil"/>
            </w:tcBorders>
            <w:noWrap w:val="0"/>
            <w:vAlign w:val="center"/>
          </w:tcPr>
          <w:p w14:paraId="53374D4F">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5997" w:type="dxa"/>
            <w:tcBorders>
              <w:tl2br w:val="nil"/>
              <w:tr2bl w:val="nil"/>
            </w:tcBorders>
            <w:noWrap w:val="0"/>
            <w:vAlign w:val="center"/>
          </w:tcPr>
          <w:p w14:paraId="0A9BCD01">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w:t>
            </w:r>
            <w:r>
              <w:rPr>
                <w:rFonts w:hint="eastAsia" w:ascii="宋体" w:hAnsi="宋体" w:eastAsia="宋体" w:cs="宋体"/>
                <w:color w:val="auto"/>
                <w:kern w:val="0"/>
                <w:sz w:val="21"/>
                <w:szCs w:val="21"/>
                <w:highlight w:val="none"/>
              </w:rPr>
              <w:t>提供针对本项目</w:t>
            </w: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环境管理体系与措施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内容包括但不限于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环境保护具体方案、环境管理工作部署</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包括对项目完工后周围环境的恢复</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、环境保护管理体系</w:t>
            </w:r>
            <w:r>
              <w:rPr>
                <w:rFonts w:hint="eastAsia" w:ascii="宋体" w:hAnsi="宋体" w:eastAsia="宋体" w:cs="宋体"/>
                <w:color w:val="auto"/>
                <w:kern w:val="0"/>
                <w:sz w:val="21"/>
                <w:szCs w:val="21"/>
                <w:highlight w:val="none"/>
                <w:lang w:eastAsia="zh-CN"/>
              </w:rPr>
              <w:t>、环境管理方针及管理因素</w:t>
            </w:r>
            <w:r>
              <w:rPr>
                <w:rFonts w:hint="eastAsia" w:ascii="宋体" w:hAnsi="宋体" w:eastAsia="宋体" w:cs="宋体"/>
                <w:color w:val="auto"/>
                <w:kern w:val="0"/>
                <w:sz w:val="21"/>
                <w:szCs w:val="21"/>
                <w:highlight w:val="none"/>
              </w:rPr>
              <w:t>，在噪音、建筑垃圾、扬尘等环境保护和控制措施、手段、方法等针对性强，细致具体，切实可行，环保控制严格，评委根据方案内容的完整性、可行性、措施的科学合理性等方面进行评分，环境管理体系完整可行、措施科学合理计</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分。有标题无实质性描述每个内容扣</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分，其中每处缺陷扣</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分，本项扣完</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分为止。未提供方案本项计0分</w:t>
            </w:r>
            <w:r>
              <w:rPr>
                <w:rFonts w:hint="eastAsia" w:ascii="宋体" w:hAnsi="宋体" w:eastAsia="宋体" w:cs="宋体"/>
                <w:color w:val="auto"/>
                <w:kern w:val="0"/>
                <w:sz w:val="21"/>
                <w:szCs w:val="21"/>
                <w:highlight w:val="none"/>
                <w:lang w:val="en-US" w:eastAsia="zh-CN"/>
              </w:rPr>
              <w:t>。</w:t>
            </w:r>
          </w:p>
        </w:tc>
      </w:tr>
      <w:tr w14:paraId="1FADB8D5">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355" w:hRule="atLeast"/>
          <w:jc w:val="center"/>
        </w:trPr>
        <w:tc>
          <w:tcPr>
            <w:tcW w:w="742" w:type="dxa"/>
            <w:vMerge w:val="continue"/>
            <w:tcBorders>
              <w:tl2br w:val="nil"/>
              <w:tr2bl w:val="nil"/>
            </w:tcBorders>
            <w:noWrap w:val="0"/>
            <w:vAlign w:val="center"/>
          </w:tcPr>
          <w:p w14:paraId="7AF16BC2">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p>
        </w:tc>
        <w:tc>
          <w:tcPr>
            <w:tcW w:w="1330" w:type="dxa"/>
            <w:tcBorders>
              <w:tl2br w:val="nil"/>
              <w:tr2bl w:val="nil"/>
            </w:tcBorders>
            <w:noWrap w:val="0"/>
            <w:vAlign w:val="center"/>
          </w:tcPr>
          <w:p w14:paraId="56F38B71">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工程进度计划与保证措施</w:t>
            </w:r>
          </w:p>
        </w:tc>
        <w:tc>
          <w:tcPr>
            <w:tcW w:w="779" w:type="dxa"/>
            <w:tcBorders>
              <w:tl2br w:val="nil"/>
              <w:tr2bl w:val="nil"/>
            </w:tcBorders>
            <w:noWrap w:val="0"/>
            <w:vAlign w:val="center"/>
          </w:tcPr>
          <w:p w14:paraId="27A801BA">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5997" w:type="dxa"/>
            <w:tcBorders>
              <w:tl2br w:val="nil"/>
              <w:tr2bl w:val="nil"/>
            </w:tcBorders>
            <w:noWrap w:val="0"/>
            <w:vAlign w:val="center"/>
          </w:tcPr>
          <w:p w14:paraId="269A8177">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对本项目工程进度计划与保证措施符合采购人工期要求提出的方案，包括但不限于：①项目特点；②关键线路；③控制性工程以及重难点工程，</w:t>
            </w:r>
            <w:r>
              <w:rPr>
                <w:rFonts w:hint="eastAsia" w:ascii="宋体" w:hAnsi="宋体" w:eastAsia="宋体" w:cs="宋体"/>
                <w:color w:val="auto"/>
                <w:kern w:val="0"/>
                <w:sz w:val="21"/>
                <w:szCs w:val="21"/>
                <w:highlight w:val="none"/>
              </w:rPr>
              <w:t>工期保证措施得力、可行且有操作性的计6分。有标题无实质性描述每个内容扣2分，其中每处缺陷扣1分，本项扣完6分为止。未提供方案本项计0分。</w:t>
            </w:r>
          </w:p>
        </w:tc>
      </w:tr>
      <w:tr w14:paraId="6B9DB006">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5" w:hRule="atLeast"/>
          <w:jc w:val="center"/>
        </w:trPr>
        <w:tc>
          <w:tcPr>
            <w:tcW w:w="742" w:type="dxa"/>
            <w:vMerge w:val="continue"/>
            <w:tcBorders>
              <w:tl2br w:val="nil"/>
              <w:tr2bl w:val="nil"/>
            </w:tcBorders>
            <w:noWrap w:val="0"/>
            <w:vAlign w:val="center"/>
          </w:tcPr>
          <w:p w14:paraId="47CDAED3">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p>
        </w:tc>
        <w:tc>
          <w:tcPr>
            <w:tcW w:w="1330" w:type="dxa"/>
            <w:tcBorders>
              <w:tl2br w:val="nil"/>
              <w:tr2bl w:val="nil"/>
            </w:tcBorders>
            <w:noWrap w:val="0"/>
            <w:vAlign w:val="center"/>
          </w:tcPr>
          <w:p w14:paraId="1DAFEE49">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资源配备计划</w:t>
            </w:r>
          </w:p>
        </w:tc>
        <w:tc>
          <w:tcPr>
            <w:tcW w:w="779" w:type="dxa"/>
            <w:tcBorders>
              <w:tl2br w:val="nil"/>
              <w:tr2bl w:val="nil"/>
            </w:tcBorders>
            <w:noWrap w:val="0"/>
            <w:vAlign w:val="center"/>
          </w:tcPr>
          <w:p w14:paraId="65933E0B">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5997" w:type="dxa"/>
            <w:tcBorders>
              <w:tl2br w:val="nil"/>
              <w:tr2bl w:val="nil"/>
            </w:tcBorders>
            <w:noWrap w:val="0"/>
            <w:vAlign w:val="center"/>
          </w:tcPr>
          <w:p w14:paraId="44B87B7F">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依据项目情况,拟投入本项目的</w:t>
            </w:r>
            <w:r>
              <w:rPr>
                <w:rFonts w:hint="eastAsia" w:ascii="宋体" w:hAnsi="宋体" w:eastAsia="宋体" w:cs="宋体"/>
                <w:color w:val="auto"/>
                <w:kern w:val="0"/>
                <w:sz w:val="21"/>
                <w:szCs w:val="21"/>
                <w:highlight w:val="none"/>
                <w:lang w:eastAsia="zh-CN"/>
              </w:rPr>
              <w:t>施工</w:t>
            </w:r>
            <w:r>
              <w:rPr>
                <w:rFonts w:hint="eastAsia" w:ascii="宋体" w:hAnsi="宋体" w:eastAsia="宋体" w:cs="宋体"/>
                <w:color w:val="auto"/>
                <w:kern w:val="0"/>
                <w:sz w:val="21"/>
                <w:szCs w:val="21"/>
                <w:highlight w:val="none"/>
              </w:rPr>
              <w:t>机械</w:t>
            </w:r>
            <w:r>
              <w:rPr>
                <w:rFonts w:hint="eastAsia" w:ascii="宋体" w:hAnsi="宋体" w:eastAsia="宋体" w:cs="宋体"/>
                <w:color w:val="auto"/>
                <w:kern w:val="0"/>
                <w:sz w:val="21"/>
                <w:szCs w:val="21"/>
                <w:highlight w:val="none"/>
                <w:lang w:eastAsia="zh-CN"/>
              </w:rPr>
              <w:t>、主要机具</w:t>
            </w:r>
            <w:r>
              <w:rPr>
                <w:rFonts w:hint="eastAsia" w:ascii="宋体" w:hAnsi="宋体" w:eastAsia="宋体" w:cs="宋体"/>
                <w:color w:val="auto"/>
                <w:kern w:val="0"/>
                <w:sz w:val="21"/>
                <w:szCs w:val="21"/>
                <w:highlight w:val="none"/>
              </w:rPr>
              <w:t>设备</w:t>
            </w:r>
            <w:r>
              <w:rPr>
                <w:rFonts w:hint="eastAsia" w:ascii="宋体" w:hAnsi="宋体" w:eastAsia="宋体" w:cs="宋体"/>
                <w:color w:val="auto"/>
                <w:kern w:val="0"/>
                <w:sz w:val="21"/>
                <w:szCs w:val="21"/>
                <w:highlight w:val="none"/>
                <w:lang w:val="en-US" w:eastAsia="zh-CN"/>
              </w:rPr>
              <w:t>及材料</w:t>
            </w:r>
            <w:r>
              <w:rPr>
                <w:rFonts w:hint="eastAsia" w:ascii="宋体" w:hAnsi="宋体" w:eastAsia="宋体" w:cs="宋体"/>
                <w:color w:val="auto"/>
                <w:kern w:val="0"/>
                <w:sz w:val="21"/>
                <w:szCs w:val="21"/>
                <w:highlight w:val="none"/>
                <w:lang w:eastAsia="zh-CN"/>
              </w:rPr>
              <w:t>计划、劳动力安排计划</w:t>
            </w:r>
            <w:r>
              <w:rPr>
                <w:rFonts w:hint="eastAsia" w:ascii="宋体" w:hAnsi="宋体" w:eastAsia="宋体" w:cs="宋体"/>
                <w:color w:val="auto"/>
                <w:kern w:val="0"/>
                <w:sz w:val="21"/>
                <w:szCs w:val="21"/>
                <w:highlight w:val="none"/>
              </w:rPr>
              <w:t>等进行计分</w:t>
            </w:r>
            <w:r>
              <w:rPr>
                <w:rFonts w:hint="eastAsia" w:ascii="宋体" w:hAnsi="宋体" w:eastAsia="宋体" w:cs="宋体"/>
                <w:color w:val="auto"/>
                <w:kern w:val="0"/>
                <w:sz w:val="21"/>
                <w:szCs w:val="21"/>
                <w:highlight w:val="none"/>
                <w:lang w:eastAsia="zh-CN"/>
              </w:rPr>
              <w:t>，资源配备计划</w:t>
            </w:r>
            <w:r>
              <w:rPr>
                <w:rFonts w:hint="eastAsia" w:ascii="宋体" w:hAnsi="宋体" w:eastAsia="宋体" w:cs="宋体"/>
                <w:color w:val="auto"/>
                <w:kern w:val="0"/>
                <w:sz w:val="21"/>
                <w:szCs w:val="21"/>
                <w:highlight w:val="none"/>
              </w:rPr>
              <w:t>方案完善、措施合理可行且</w:t>
            </w:r>
            <w:r>
              <w:rPr>
                <w:rFonts w:hint="eastAsia" w:ascii="宋体" w:hAnsi="宋体" w:eastAsia="宋体" w:cs="宋体"/>
                <w:color w:val="auto"/>
                <w:kern w:val="0"/>
                <w:sz w:val="21"/>
                <w:szCs w:val="21"/>
                <w:highlight w:val="none"/>
                <w:lang w:eastAsia="zh-CN"/>
              </w:rPr>
              <w:t>高</w:t>
            </w:r>
            <w:r>
              <w:rPr>
                <w:rFonts w:hint="eastAsia" w:ascii="宋体" w:hAnsi="宋体" w:eastAsia="宋体" w:cs="宋体"/>
                <w:color w:val="auto"/>
                <w:kern w:val="0"/>
                <w:sz w:val="21"/>
                <w:szCs w:val="21"/>
                <w:highlight w:val="none"/>
              </w:rPr>
              <w:t>操作性的计</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有标题无实质性描述每个内容扣</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分，其中每处缺陷扣</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分，本项扣完</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分为止。未提供方案本项计0分</w:t>
            </w:r>
            <w:r>
              <w:rPr>
                <w:rFonts w:hint="eastAsia" w:ascii="宋体" w:hAnsi="宋体" w:eastAsia="宋体" w:cs="宋体"/>
                <w:color w:val="auto"/>
                <w:kern w:val="0"/>
                <w:sz w:val="21"/>
                <w:szCs w:val="21"/>
                <w:highlight w:val="none"/>
                <w:lang w:val="en-US" w:eastAsia="zh-CN"/>
              </w:rPr>
              <w:t>。</w:t>
            </w:r>
          </w:p>
        </w:tc>
      </w:tr>
      <w:tr w14:paraId="43B2C411">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5" w:hRule="atLeast"/>
          <w:jc w:val="center"/>
        </w:trPr>
        <w:tc>
          <w:tcPr>
            <w:tcW w:w="742" w:type="dxa"/>
            <w:vMerge w:val="continue"/>
            <w:tcBorders>
              <w:tl2br w:val="nil"/>
              <w:tr2bl w:val="nil"/>
            </w:tcBorders>
            <w:noWrap w:val="0"/>
            <w:vAlign w:val="center"/>
          </w:tcPr>
          <w:p w14:paraId="44544CE5">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rPr>
            </w:pPr>
          </w:p>
        </w:tc>
        <w:tc>
          <w:tcPr>
            <w:tcW w:w="8106" w:type="dxa"/>
            <w:gridSpan w:val="3"/>
            <w:tcBorders>
              <w:tl2br w:val="nil"/>
              <w:tr2bl w:val="nil"/>
            </w:tcBorders>
            <w:noWrap w:val="0"/>
            <w:vAlign w:val="center"/>
          </w:tcPr>
          <w:p w14:paraId="5A69776E">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技术部分</w:t>
            </w:r>
            <w:r>
              <w:rPr>
                <w:rFonts w:hint="eastAsia" w:ascii="宋体" w:hAnsi="宋体" w:eastAsia="宋体" w:cs="宋体"/>
                <w:color w:val="auto"/>
                <w:kern w:val="0"/>
                <w:sz w:val="21"/>
                <w:szCs w:val="21"/>
                <w:highlight w:val="none"/>
              </w:rPr>
              <w:t>缺陷是指：非专门针对本项目或不适用项目特性的情形、内容不完整或缺少关键节点、套用其他项目方案、内容前后矛盾、涉及的规范及标准错误、不利于项目实施、不可能实现的情形等任意一种情形。）</w:t>
            </w:r>
          </w:p>
        </w:tc>
      </w:tr>
      <w:tr w14:paraId="5D64E224">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4" w:hRule="atLeast"/>
          <w:jc w:val="center"/>
        </w:trPr>
        <w:tc>
          <w:tcPr>
            <w:tcW w:w="742" w:type="dxa"/>
            <w:vMerge w:val="restart"/>
            <w:tcBorders>
              <w:tl2br w:val="nil"/>
              <w:tr2bl w:val="nil"/>
            </w:tcBorders>
            <w:noWrap w:val="0"/>
            <w:vAlign w:val="center"/>
          </w:tcPr>
          <w:p w14:paraId="7F1E807B">
            <w:pPr>
              <w:pStyle w:val="6"/>
              <w:keepNext w:val="0"/>
              <w:keepLines w:val="0"/>
              <w:pageBreakBefore w:val="0"/>
              <w:widowControl w:val="0"/>
              <w:kinsoku/>
              <w:wordWrap/>
              <w:overflowPunct/>
              <w:topLinePunct w:val="0"/>
              <w:autoSpaceDE/>
              <w:autoSpaceDN/>
              <w:bidi w:val="0"/>
              <w:adjustRightInd/>
              <w:snapToGrid/>
              <w:spacing w:before="0" w:line="288" w:lineRule="auto"/>
              <w:ind w:left="-210" w:leftChars="-100" w:right="-210" w:rightChars="-10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务</w:t>
            </w:r>
          </w:p>
          <w:p w14:paraId="7C4DD296">
            <w:pPr>
              <w:pStyle w:val="6"/>
              <w:keepNext w:val="0"/>
              <w:keepLines w:val="0"/>
              <w:pageBreakBefore w:val="0"/>
              <w:widowControl w:val="0"/>
              <w:kinsoku/>
              <w:wordWrap/>
              <w:overflowPunct/>
              <w:topLinePunct w:val="0"/>
              <w:autoSpaceDE/>
              <w:autoSpaceDN/>
              <w:bidi w:val="0"/>
              <w:adjustRightInd/>
              <w:snapToGrid/>
              <w:spacing w:before="0" w:line="288" w:lineRule="auto"/>
              <w:ind w:left="-210" w:leftChars="-100" w:right="-210" w:rightChars="-10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分）</w:t>
            </w:r>
          </w:p>
        </w:tc>
        <w:tc>
          <w:tcPr>
            <w:tcW w:w="1330" w:type="dxa"/>
            <w:tcBorders>
              <w:tl2br w:val="nil"/>
              <w:tr2bl w:val="nil"/>
            </w:tcBorders>
            <w:noWrap w:val="0"/>
            <w:vAlign w:val="center"/>
          </w:tcPr>
          <w:p w14:paraId="2DF0F8E1">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企业综合实力</w:t>
            </w:r>
          </w:p>
        </w:tc>
        <w:tc>
          <w:tcPr>
            <w:tcW w:w="779" w:type="dxa"/>
            <w:tcBorders>
              <w:tl2br w:val="nil"/>
              <w:tr2bl w:val="nil"/>
            </w:tcBorders>
            <w:noWrap w:val="0"/>
            <w:vAlign w:val="center"/>
          </w:tcPr>
          <w:p w14:paraId="19B15D71">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5997" w:type="dxa"/>
            <w:tcBorders>
              <w:tl2br w:val="nil"/>
              <w:tr2bl w:val="nil"/>
            </w:tcBorders>
            <w:noWrap w:val="0"/>
            <w:vAlign w:val="center"/>
          </w:tcPr>
          <w:p w14:paraId="29A0DEFC">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及拟任项目负责人2023年以来的不良行为记录情况，投标供应商应在响应文件中如实反映其单位及拟任项目负责人2023年以来的不良行为记录，无不良行为记录的计4分，发生一次不良行为记录，本项不计分。</w:t>
            </w:r>
          </w:p>
          <w:p w14:paraId="687C47DE">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证明材料：2023年以来无不良行为记录的投标供应商提供书面承诺函即可；有不良记录的如实提供省级及以上建设行政主管部门公布的不良行为记录名单中投标供应商或项目负责人所在页打印件；未按要求提供证明材料的本项不计分；一旦发现弄虚作假，取消投标资格或成交资格。</w:t>
            </w:r>
          </w:p>
        </w:tc>
      </w:tr>
      <w:tr w14:paraId="033AE1EC">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4" w:hRule="atLeast"/>
          <w:jc w:val="center"/>
        </w:trPr>
        <w:tc>
          <w:tcPr>
            <w:tcW w:w="742" w:type="dxa"/>
            <w:vMerge w:val="continue"/>
            <w:tcBorders>
              <w:tl2br w:val="nil"/>
              <w:tr2bl w:val="nil"/>
            </w:tcBorders>
            <w:noWrap w:val="0"/>
            <w:vAlign w:val="center"/>
          </w:tcPr>
          <w:p w14:paraId="3A64C36D">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sz w:val="21"/>
                <w:szCs w:val="21"/>
                <w:highlight w:val="none"/>
              </w:rPr>
            </w:pPr>
          </w:p>
        </w:tc>
        <w:tc>
          <w:tcPr>
            <w:tcW w:w="1330" w:type="dxa"/>
            <w:vMerge w:val="restart"/>
            <w:tcBorders>
              <w:tl2br w:val="nil"/>
              <w:tr2bl w:val="nil"/>
            </w:tcBorders>
            <w:noWrap w:val="0"/>
            <w:vAlign w:val="center"/>
          </w:tcPr>
          <w:p w14:paraId="10B965A5">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类似业绩</w:t>
            </w:r>
          </w:p>
        </w:tc>
        <w:tc>
          <w:tcPr>
            <w:tcW w:w="779" w:type="dxa"/>
            <w:vMerge w:val="restart"/>
            <w:tcBorders>
              <w:tl2br w:val="nil"/>
              <w:tr2bl w:val="nil"/>
            </w:tcBorders>
            <w:noWrap w:val="0"/>
            <w:vAlign w:val="center"/>
          </w:tcPr>
          <w:p w14:paraId="62A1AC8D">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p>
        </w:tc>
        <w:tc>
          <w:tcPr>
            <w:tcW w:w="5997" w:type="dxa"/>
            <w:tcBorders>
              <w:tl2br w:val="nil"/>
              <w:tr2bl w:val="nil"/>
            </w:tcBorders>
            <w:noWrap w:val="0"/>
            <w:vAlign w:val="center"/>
          </w:tcPr>
          <w:p w14:paraId="443DA636">
            <w:pPr>
              <w:pStyle w:val="6"/>
              <w:keepNext w:val="0"/>
              <w:keepLines w:val="0"/>
              <w:pageBreakBefore w:val="0"/>
              <w:widowControl w:val="0"/>
              <w:numPr>
                <w:ilvl w:val="0"/>
                <w:numId w:val="0"/>
              </w:numPr>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投标供应商提供2023年1月以来的类似工程项目由原建设单位对供应商工程质量、服务质量、诚信履约等情况反馈均为优的,提供1个反馈意见的计2分，最多计6分。</w:t>
            </w:r>
          </w:p>
          <w:p w14:paraId="05E52E0C">
            <w:pPr>
              <w:pStyle w:val="6"/>
              <w:keepNext w:val="0"/>
              <w:keepLines w:val="0"/>
              <w:pageBreakBefore w:val="0"/>
              <w:widowControl w:val="0"/>
              <w:numPr>
                <w:ilvl w:val="0"/>
                <w:numId w:val="0"/>
              </w:numPr>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注：须提供由原建设单位出具的相关证明材料并加盖建设单位公章，否则不计分。</w:t>
            </w:r>
          </w:p>
        </w:tc>
      </w:tr>
      <w:tr w14:paraId="5C832F9B">
        <w:tblPrEx>
          <w:tblBorders>
            <w:top w:val="double" w:color="auto" w:sz="2" w:space="0"/>
            <w:left w:val="double" w:color="auto" w:sz="2" w:space="0"/>
            <w:bottom w:val="double" w:color="auto" w:sz="2" w:space="0"/>
            <w:right w:val="double" w:color="auto" w:sz="2" w:space="0"/>
            <w:insideH w:val="single" w:color="auto" w:sz="4" w:space="0"/>
            <w:insideV w:val="single" w:color="auto" w:sz="6" w:space="0"/>
          </w:tblBorders>
          <w:tblCellMar>
            <w:top w:w="0" w:type="dxa"/>
            <w:left w:w="108" w:type="dxa"/>
            <w:bottom w:w="0" w:type="dxa"/>
            <w:right w:w="108" w:type="dxa"/>
          </w:tblCellMar>
        </w:tblPrEx>
        <w:trPr>
          <w:trHeight w:val="624" w:hRule="atLeast"/>
          <w:jc w:val="center"/>
        </w:trPr>
        <w:tc>
          <w:tcPr>
            <w:tcW w:w="742" w:type="dxa"/>
            <w:vMerge w:val="continue"/>
            <w:tcBorders>
              <w:tl2br w:val="nil"/>
              <w:tr2bl w:val="nil"/>
            </w:tcBorders>
            <w:noWrap w:val="0"/>
            <w:vAlign w:val="center"/>
          </w:tcPr>
          <w:p w14:paraId="18A1B8F4">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sz w:val="21"/>
                <w:szCs w:val="21"/>
                <w:highlight w:val="none"/>
              </w:rPr>
            </w:pPr>
          </w:p>
        </w:tc>
        <w:tc>
          <w:tcPr>
            <w:tcW w:w="1330" w:type="dxa"/>
            <w:vMerge w:val="continue"/>
            <w:tcBorders>
              <w:tl2br w:val="nil"/>
              <w:tr2bl w:val="nil"/>
            </w:tcBorders>
            <w:noWrap w:val="0"/>
            <w:vAlign w:val="center"/>
          </w:tcPr>
          <w:p w14:paraId="19595E4F">
            <w:pPr>
              <w:pStyle w:val="6"/>
              <w:keepNext w:val="0"/>
              <w:keepLines w:val="0"/>
              <w:pageBreakBefore w:val="0"/>
              <w:widowControl w:val="0"/>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p>
        </w:tc>
        <w:tc>
          <w:tcPr>
            <w:tcW w:w="779" w:type="dxa"/>
            <w:vMerge w:val="continue"/>
            <w:tcBorders>
              <w:tl2br w:val="nil"/>
              <w:tr2bl w:val="nil"/>
            </w:tcBorders>
            <w:noWrap w:val="0"/>
            <w:vAlign w:val="center"/>
          </w:tcPr>
          <w:p w14:paraId="7844C392">
            <w:pPr>
              <w:pStyle w:val="6"/>
              <w:keepNext w:val="0"/>
              <w:keepLines w:val="0"/>
              <w:pageBreakBefore w:val="0"/>
              <w:widowControl w:val="0"/>
              <w:kinsoku/>
              <w:wordWrap/>
              <w:overflowPunct/>
              <w:topLinePunct w:val="0"/>
              <w:autoSpaceDE/>
              <w:autoSpaceDN/>
              <w:bidi w:val="0"/>
              <w:adjustRightInd/>
              <w:snapToGrid/>
              <w:spacing w:before="0" w:line="288" w:lineRule="auto"/>
              <w:jc w:val="center"/>
              <w:textAlignment w:val="auto"/>
              <w:rPr>
                <w:rFonts w:hint="eastAsia" w:ascii="宋体" w:hAnsi="宋体" w:eastAsia="宋体" w:cs="宋体"/>
                <w:color w:val="auto"/>
                <w:kern w:val="0"/>
                <w:sz w:val="21"/>
                <w:szCs w:val="21"/>
                <w:highlight w:val="none"/>
                <w:lang w:val="en-US" w:eastAsia="zh-CN"/>
              </w:rPr>
            </w:pPr>
          </w:p>
        </w:tc>
        <w:tc>
          <w:tcPr>
            <w:tcW w:w="5997" w:type="dxa"/>
            <w:tcBorders>
              <w:tl2br w:val="nil"/>
              <w:tr2bl w:val="nil"/>
            </w:tcBorders>
            <w:noWrap w:val="0"/>
            <w:vAlign w:val="center"/>
          </w:tcPr>
          <w:p w14:paraId="75482DFF">
            <w:pPr>
              <w:pStyle w:val="6"/>
              <w:keepNext w:val="0"/>
              <w:keepLines w:val="0"/>
              <w:pageBreakBefore w:val="0"/>
              <w:widowControl w:val="0"/>
              <w:numPr>
                <w:ilvl w:val="0"/>
                <w:numId w:val="0"/>
              </w:numPr>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投标供应商2023年1月至今具有工程项目业绩的一个计2分，满10分。</w:t>
            </w:r>
          </w:p>
          <w:p w14:paraId="1BC6E850">
            <w:pPr>
              <w:pStyle w:val="6"/>
              <w:keepNext w:val="0"/>
              <w:keepLines w:val="0"/>
              <w:pageBreakBefore w:val="0"/>
              <w:widowControl w:val="0"/>
              <w:numPr>
                <w:ilvl w:val="0"/>
                <w:numId w:val="0"/>
              </w:numPr>
              <w:kinsoku/>
              <w:wordWrap/>
              <w:overflowPunct/>
              <w:topLinePunct w:val="0"/>
              <w:autoSpaceDE/>
              <w:autoSpaceDN/>
              <w:bidi w:val="0"/>
              <w:adjustRightInd/>
              <w:snapToGrid/>
              <w:spacing w:before="0" w:line="288"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注：须提供施工合同复印件或扫描件，时间以施工合同签订时间为准，并加盖公章方可加分，否则不予加分。</w:t>
            </w:r>
          </w:p>
        </w:tc>
      </w:tr>
    </w:tbl>
    <w:p w14:paraId="681040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C4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sz w:val="24"/>
    </w:rPr>
  </w:style>
  <w:style w:type="paragraph" w:styleId="3">
    <w:name w:val="Body Text First Indent"/>
    <w:basedOn w:val="2"/>
    <w:qFormat/>
    <w:uiPriority w:val="0"/>
    <w:pPr>
      <w:spacing w:after="120"/>
      <w:ind w:firstLine="420" w:firstLineChars="100"/>
      <w:jc w:val="both"/>
    </w:pPr>
    <w:rPr>
      <w:rFonts w:eastAsia="宋体"/>
      <w:sz w:val="21"/>
    </w:rPr>
  </w:style>
  <w:style w:type="paragraph" w:customStyle="1" w:styleId="6">
    <w:name w:val="正文无缩进"/>
    <w:basedOn w:val="1"/>
    <w:qFormat/>
    <w:uiPriority w:val="0"/>
    <w:pPr>
      <w:widowControl w:val="0"/>
      <w:snapToGrid w:val="0"/>
      <w:spacing w:before="120" w:line="300" w:lineRule="auto"/>
      <w:jc w:val="both"/>
    </w:pPr>
    <w:rPr>
      <w:rFonts w:hint="default" w:ascii="Times New Roman" w:hAnsi="Times New Roman" w:eastAsia="宋体" w:cs="Times New Roman"/>
      <w:color w:val="auto"/>
      <w:kern w:val="2"/>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2026-03-30T05:00:30Z</dcterms:created>
  <dc:creator>Administrator</dc:creator>
  <cp:lastModifiedBy>Administrator</cp:lastModifiedBy>
  <dcterms:modified xsi:type="dcterms:W3CDTF">2026-03-30T05:01:07Z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eyJoZGlkIjoiNzNiNDZhMDZjNmZmMmRhMjY2ZjZlZjM2ZTU5MTU3YTciLCJ1c2VySWQiOiIxNjc2MTI2MzgyIn0=</vt:lpwstr>
  </property>
  <property fmtid="{D5CDD505-2E9C-101B-9397-08002B2CF9AE}" pid="4" name="ICV">
    <vt:lpwstr>04F696691AA74ABCA96E8F041D2CA631_12</vt:lpwstr>
  </property>
</Properties>
</file>